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Séminaire mensuel transversal des doctorant.e.s de Framespa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 Vendredi - de 13h30 à 15h30 en salle A306</w:t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Vendredi 26 janvier :</w:t>
      </w:r>
      <w:r w:rsidDel="00000000" w:rsidR="00000000" w:rsidRPr="00000000">
        <w:rPr>
          <w:rtl w:val="0"/>
        </w:rPr>
        <w:t xml:space="preserve"> </w:t>
        <w:br w:type="textWrapping"/>
        <w:t xml:space="preserve">- Olivier Guiral, « Diplomates espagnols et circulations européennes : des trajectoires au cœur d'une première professionnalisation des diplomates ? »</w:t>
        <w:br w:type="textWrapping"/>
        <w:t xml:space="preserve">- Jean-Luc Cardinaud, « Les diasporas intellectuelles à l'épreuve de la guerre (1940-1945). »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Vendredi 16 février :</w:t>
      </w:r>
      <w:r w:rsidDel="00000000" w:rsidR="00000000" w:rsidRPr="00000000">
        <w:rPr>
          <w:rtl w:val="0"/>
        </w:rPr>
        <w:t xml:space="preserve"> </w:t>
        <w:br w:type="textWrapping"/>
        <w:t xml:space="preserve">- Noa Buffavand, « Le réseau transnational du Taller de Gráfica Popular de Mexico pendant la Guerre froide (1947-1963) : pratiques visuelles, collectives et politiques. »</w:t>
        <w:br w:type="textWrapping"/>
        <w:t xml:space="preserve">- Casandra Herrera, « Les traces d'Eva Sulzer dans la constellation surréaliste mexicaine. »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Vendredi 15 mars :</w:t>
      </w:r>
      <w:r w:rsidDel="00000000" w:rsidR="00000000" w:rsidRPr="00000000">
        <w:rPr>
          <w:rtl w:val="0"/>
        </w:rPr>
        <w:t xml:space="preserve"> </w:t>
        <w:br w:type="textWrapping"/>
        <w:t xml:space="preserve">- Louis Devoyon, « Le transport aérien militaire d’hier à aujourd’hui : un préalable à la capacité de projection des Forces armées françaises dans le monde (1945-2022). »</w:t>
        <w:br w:type="textWrapping"/>
        <w:t xml:space="preserve">- Charlotte Dewarumez, « Représenter le corps humain dans les livres scientifiques au XIXe siècle : entre culture scientifique commune et préférences individuelles. »</w:t>
        <w:br w:type="textWrapping"/>
        <w:t xml:space="preserve">- Hélène Fourcade, « Devenir astronaute au féminin : contourner les obstacles d’un itinéraire balisé »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Vendredi 5 avril :</w:t>
      </w:r>
      <w:r w:rsidDel="00000000" w:rsidR="00000000" w:rsidRPr="00000000">
        <w:rPr>
          <w:rtl w:val="0"/>
        </w:rPr>
        <w:t xml:space="preserve"> </w:t>
        <w:br w:type="textWrapping"/>
        <w:t xml:space="preserve">- Hugo Balfagon, « Migrations, réseaux et insertion dans le Roussillon moderne (1630-1730). »</w:t>
        <w:br w:type="textWrapping"/>
        <w:t xml:space="preserve">- Gabriel Imbert, « Les croix d'églises à l'âge roman, modèles et idées : circulations ou particularismes ? »</w:t>
        <w:br w:type="textWrapping"/>
        <w:t xml:space="preserve">- Carlyne Henocq, « Hommes, idées, objets : circulations artistiques dans l’Empire Plantagenêt (seconde moitié du XIIe siècle). »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Vendredi 24 mai :</w:t>
      </w:r>
      <w:r w:rsidDel="00000000" w:rsidR="00000000" w:rsidRPr="00000000">
        <w:rPr>
          <w:rtl w:val="0"/>
        </w:rPr>
        <w:t xml:space="preserve"> </w:t>
        <w:br w:type="textWrapping"/>
        <w:t xml:space="preserve">- Jérôme Pujol, « "La Vie intellectuelle" une revue au cœur du débat d'idées dans la France des années 30. »</w:t>
        <w:br w:type="textWrapping"/>
        <w:t xml:space="preserve">- Guillaume Terrasson, « Les réseaux de l'archevêque. Sphères d'influence d'un prélat gascon du XIII° siècle. »</w:t>
        <w:br w:type="textWrapping"/>
        <w:t xml:space="preserve">- Oriane Dechand, « Femmes, guérisseuses et sorcières : circulations des savoirs et réseaux d'entraide des femmes indigènes dans la vice-royauté du Pérou (XVIe-XVIIe s.). »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567" w:before="238" w:line="240" w:lineRule="auto"/>
      <w:jc w:val="center"/>
    </w:pPr>
    <w:rPr>
      <w:rFonts w:ascii="Calibri" w:cs="Calibri" w:eastAsia="Calibri" w:hAnsi="Calibri"/>
      <w:b w:val="1"/>
      <w:color w:val="c00000"/>
      <w:sz w:val="40"/>
      <w:szCs w:val="40"/>
      <w:u w:val="single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</w:pPr>
    <w:rPr>
      <w:rFonts w:ascii="Calibri" w:cs="Calibri" w:eastAsia="Calibri" w:hAnsi="Calibri"/>
      <w:b w:val="1"/>
      <w:color w:val="ff0000"/>
      <w:sz w:val="32"/>
      <w:szCs w:val="32"/>
      <w:u w:val="single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</w:pPr>
    <w:rPr>
      <w:rFonts w:ascii="Calibri" w:cs="Calibri" w:eastAsia="Calibri" w:hAnsi="Calibri"/>
      <w:b w:val="1"/>
      <w:color w:val="00b050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spacing w:after="120" w:before="120" w:line="240" w:lineRule="auto"/>
    </w:pPr>
    <w:rPr>
      <w:rFonts w:ascii="Calibri" w:cs="Calibri" w:eastAsia="Calibri" w:hAnsi="Calibri"/>
      <w:b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Calibri" w:cs="Calibri" w:eastAsia="Calibri" w:hAnsi="Calibri"/>
      <w:b w:val="1"/>
      <w:sz w:val="72"/>
      <w:szCs w:val="7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/vGEGy7ngn1TJ4uRfGVief34g==">CgMxLjAyCGguZ2pkZ3hzOAByITFsUHEyeW1VUGZXYWhiN2NMRUdlS3RyVGstMDU4QkFnaA==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